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8595 US Highway 51 Buyer Concept Package Index</w:t>
      </w:r>
    </w:p>
    <w:p>
      <w:pPr>
        <w:pStyle w:val="Subtitle"/>
        <w:jc w:val="center"/>
      </w:pPr>
      <w:r>
        <w:t>Six coordinated buyer campaigns with interior before and after concepts</w:t>
      </w:r>
    </w:p>
    <w:p>
      <w:r>
        <w:t>This package divides the disposition campaign into six distinct buyer narratives. Each folder contains current interior photographs, a photorealistic conceptual rendering, and a customized buyer brief. The campaigns can run simultaneously while all inquiries remain in one qualification and follow-up system.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c>
          <w:tcPr>
            <w:tcW w:type="dxa" w:w="2376"/>
            <w:shd w:fill="1D344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Campaign</w:t>
            </w:r>
          </w:p>
        </w:tc>
        <w:tc>
          <w:tcPr>
            <w:tcW w:type="dxa" w:w="3384"/>
            <w:shd w:fill="1D344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Primary buyer</w:t>
            </w:r>
          </w:p>
        </w:tc>
        <w:tc>
          <w:tcPr>
            <w:tcW w:type="dxa" w:w="4392"/>
            <w:shd w:fill="1D344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Interior concept</w:t>
            </w:r>
          </w:p>
        </w:tc>
      </w:tr>
      <w:tr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Event and Wedding Venue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Independent wedding and event venue operators</w:t>
            </w:r>
          </w:p>
        </w:tc>
        <w:tc>
          <w:tcPr>
            <w:tcW w:type="dxa" w:w="43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Main hall staged for receptions, banquets, and private events</w:t>
            </w:r>
          </w:p>
        </w:tc>
      </w:tr>
      <w:tr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Retreat and Hospitality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Corporate retreat and leadership-program operators</w:t>
            </w:r>
          </w:p>
        </w:tc>
        <w:tc>
          <w:tcPr>
            <w:tcW w:type="dxa" w:w="43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Upper level configured for facilitated workshops and breakout groups</w:t>
            </w:r>
          </w:p>
        </w:tc>
      </w:tr>
      <w:tr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Restaurant and Catering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Established restaurant groups</w:t>
            </w:r>
          </w:p>
        </w:tc>
        <w:tc>
          <w:tcPr>
            <w:tcW w:type="dxa" w:w="43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Main gathering room operated as destination dining and private-event space</w:t>
            </w:r>
          </w:p>
        </w:tc>
      </w:tr>
      <w:tr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Outdoor Recreation and Tourism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Outfitters and guided-tour operators</w:t>
            </w:r>
          </w:p>
        </w:tc>
        <w:tc>
          <w:tcPr>
            <w:tcW w:type="dxa" w:w="43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Enclosed porch used for check-in, gear fitting, orientation, and guest lounge functions</w:t>
            </w:r>
          </w:p>
        </w:tc>
      </w:tr>
      <w:tr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Institutional and Nonprofit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Regional nonprofits and foundations</w:t>
            </w:r>
          </w:p>
        </w:tc>
        <w:tc>
          <w:tcPr>
            <w:tcW w:type="dxa" w:w="43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Main hall configured for training, plenary sessions, meals, or community events</w:t>
            </w:r>
          </w:p>
        </w:tc>
      </w:tr>
      <w:tr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Adaptive Reuse and Investment</w:t>
            </w:r>
          </w:p>
        </w:tc>
        <w:tc>
          <w:tcPr>
            <w:tcW w:type="dxa" w:w="33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Owner-developers and operator-investors</w:t>
            </w:r>
          </w:p>
        </w:tc>
        <w:tc>
          <w:tcPr>
            <w:tcW w:type="dxa" w:w="43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Phase one: refreshed event, dining, meeting, or day-retreat operations</w:t>
            </w:r>
          </w:p>
        </w:tc>
      </w:tr>
    </w:tbl>
    <w:p>
      <w:pPr>
        <w:spacing w:after="20"/>
      </w:pPr>
    </w:p>
    <w:p>
      <w:pPr>
        <w:pStyle w:val="Heading1"/>
      </w:pPr>
      <w:r>
        <w:t>Campaign Controls</w:t>
      </w:r>
    </w:p>
    <w:p>
      <w:pPr>
        <w:pStyle w:val="ListBullet"/>
        <w:spacing w:after="60"/>
      </w:pPr>
      <w:r>
        <w:t>Use the actual photograph first or beside the rendering so buyers can distinguish current condition from possibility.</w:t>
      </w:r>
    </w:p>
    <w:p>
      <w:pPr>
        <w:pStyle w:val="ListBullet"/>
        <w:spacing w:after="60"/>
      </w:pPr>
      <w:r>
        <w:t>Label every transformed image Conceptual Rendering in the surrounding layout and retain the full disclaimer.</w:t>
      </w:r>
    </w:p>
    <w:p>
      <w:pPr>
        <w:pStyle w:val="ListBullet"/>
        <w:spacing w:after="60"/>
      </w:pPr>
      <w:r>
        <w:t>Do not use winery-led language, winery buyer lists, tasting-room labels, or prominent wine imagery.</w:t>
      </w:r>
    </w:p>
    <w:p>
      <w:pPr>
        <w:pStyle w:val="ListBullet"/>
        <w:spacing w:after="60"/>
      </w:pPr>
      <w:r>
        <w:t>Do not publish the building area until the 4,228-square-foot floor-plan total and approximately 6,000-square-foot marketing claim are reconciled.</w:t>
      </w:r>
    </w:p>
    <w:p>
      <w:pPr>
        <w:pStyle w:val="ListBullet"/>
        <w:spacing w:after="60"/>
      </w:pPr>
      <w:r>
        <w:t>Do not state that a proposed use is permitted, financeable, profitable, insurable, or code compliant without written support.</w:t>
      </w:r>
    </w:p>
    <w:p>
      <w:r>
        <w:br w:type="page"/>
      </w:r>
    </w:p>
    <w:p>
      <w:pPr>
        <w:pStyle w:val="Heading1"/>
      </w:pPr>
      <w:r>
        <w:t>Folder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c>
          <w:tcPr>
            <w:tcW w:type="dxa" w:w="2880"/>
            <w:shd w:fill="1D344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Folder</w:t>
            </w:r>
          </w:p>
        </w:tc>
        <w:tc>
          <w:tcPr>
            <w:tcW w:type="dxa" w:w="2232"/>
            <w:shd w:fill="1D344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Current</w:t>
            </w:r>
          </w:p>
        </w:tc>
        <w:tc>
          <w:tcPr>
            <w:tcW w:type="dxa" w:w="2808"/>
            <w:shd w:fill="1D344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Concept</w:t>
            </w:r>
          </w:p>
        </w:tc>
        <w:tc>
          <w:tcPr>
            <w:tcW w:type="dxa" w:w="2376"/>
            <w:shd w:fill="1D344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Document</w:t>
            </w:r>
          </w:p>
        </w:tc>
      </w:tr>
      <w:tr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01_Event_Wedding_Venue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3R9A2589_with_fire.jpg</w:t>
            </w:r>
          </w:p>
        </w:tc>
        <w:tc>
          <w:tcPr>
            <w:tcW w:type="dxa" w:w="28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Event_Wedding_Interior_Concept_01.png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01_Event_Wedding_Venue_Buyer_Brief.docx</w:t>
            </w:r>
          </w:p>
        </w:tc>
      </w:tr>
      <w:tr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02_Retreat_Hospitality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3R9A2667.jpg</w:t>
            </w:r>
          </w:p>
        </w:tc>
        <w:tc>
          <w:tcPr>
            <w:tcW w:type="dxa" w:w="28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Retreat_Hospitality_Interior_Concept_01.png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02_Retreat_Hospitality_Buyer_Brief.docx</w:t>
            </w:r>
          </w:p>
        </w:tc>
      </w:tr>
      <w:tr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03_Restaurant_Catering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3R9A2610.jpg</w:t>
            </w:r>
          </w:p>
        </w:tc>
        <w:tc>
          <w:tcPr>
            <w:tcW w:type="dxa" w:w="28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Restaurant_Catering_Interior_Concept_01.png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03_Restaurant_Catering_Buyer_Brief.docx</w:t>
            </w:r>
          </w:p>
        </w:tc>
      </w:tr>
      <w:tr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04_Outdoor_Recreation_Tourism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3R9A2718.jpg</w:t>
            </w:r>
          </w:p>
        </w:tc>
        <w:tc>
          <w:tcPr>
            <w:tcW w:type="dxa" w:w="28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Outdoor_Recreation_Interior_Concept_01.png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04_Outdoor_Recreation_Tourism_Buyer_Brief.docx</w:t>
            </w:r>
          </w:p>
        </w:tc>
      </w:tr>
      <w:tr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05_Institutional_Nonprofit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3R9A2634_with_fire.jpg</w:t>
            </w:r>
          </w:p>
        </w:tc>
        <w:tc>
          <w:tcPr>
            <w:tcW w:type="dxa" w:w="28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Institutional_Nonprofit_Interior_Concept_01.png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20"/>
            </w:pPr>
            <w:r>
              <w:rPr>
                <w:sz w:val="18"/>
              </w:rPr>
              <w:t>05_Institutional_Nonprofit_Buyer_Brief.docx</w:t>
            </w:r>
          </w:p>
        </w:tc>
      </w:tr>
      <w:tr>
        <w:tc>
          <w:tcPr>
            <w:tcW w:type="dxa" w:w="288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06_Adaptive_Reuse_Investment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3R9A2670.jpg</w:t>
            </w:r>
          </w:p>
        </w:tc>
        <w:tc>
          <w:tcPr>
            <w:tcW w:type="dxa" w:w="28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Adaptive_Reuse_Interior_Concept_01.png</w:t>
            </w:r>
          </w:p>
        </w:tc>
        <w:tc>
          <w:tcPr>
            <w:tcW w:type="dxa" w:w="237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3F5F2"/>
          </w:tcPr>
          <w:p>
            <w:pPr>
              <w:spacing w:after="20"/>
            </w:pPr>
            <w:r>
              <w:rPr>
                <w:sz w:val="18"/>
              </w:rPr>
              <w:t>06_Adaptive_Reuse_Investment_Buyer_Brief.docx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Concept Gallery</w:t>
      </w:r>
    </w:p>
    <w:p>
      <w:pPr>
        <w:pStyle w:val="Heading2"/>
        <w:keepNext/>
      </w:pPr>
      <w:r>
        <w:t>Event and Wedding Venue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381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vent_Wedding_Interior_Concept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Conceptual Rendering</w:t>
      </w:r>
    </w:p>
    <w:p>
      <w:r>
        <w:br w:type="page"/>
      </w:r>
    </w:p>
    <w:p>
      <w:pPr>
        <w:pStyle w:val="Heading2"/>
        <w:keepNext/>
      </w:pPr>
      <w:r>
        <w:t>Retreat and Hospitality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381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treat_Hospitality_Interior_Concept_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Conceptual Rendering</w:t>
      </w:r>
    </w:p>
    <w:p>
      <w:r>
        <w:br w:type="page"/>
      </w:r>
    </w:p>
    <w:p>
      <w:pPr>
        <w:pStyle w:val="Heading2"/>
        <w:keepNext/>
      </w:pPr>
      <w:r>
        <w:t>Restaurant and Catering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381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taurant_Catering_Interior_Concept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Conceptual Rendering</w:t>
      </w:r>
    </w:p>
    <w:p>
      <w:r>
        <w:br w:type="page"/>
      </w:r>
    </w:p>
    <w:p>
      <w:pPr>
        <w:pStyle w:val="Heading2"/>
        <w:keepNext/>
      </w:pPr>
      <w:r>
        <w:t>Outdoor Recreation and Tourism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381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utdoor_Recreation_Interior_Concept_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Conceptual Rendering</w:t>
      </w:r>
    </w:p>
    <w:p>
      <w:r>
        <w:br w:type="page"/>
      </w:r>
    </w:p>
    <w:p>
      <w:pPr>
        <w:pStyle w:val="Heading2"/>
        <w:keepNext/>
      </w:pPr>
      <w:r>
        <w:t>Institutional and Nonprofit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381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itutional_Nonprofit_Interior_Concept_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Conceptual Rendering</w:t>
      </w:r>
    </w:p>
    <w:p>
      <w:r>
        <w:br w:type="page"/>
      </w:r>
    </w:p>
    <w:p>
      <w:pPr>
        <w:pStyle w:val="Heading2"/>
        <w:keepNext/>
      </w:pPr>
      <w:r>
        <w:t>Adaptive Reuse and Investment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381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aptive_Reuse_Interior_Concept_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Conceptual Rendering</w:t>
      </w:r>
    </w:p>
    <w:p>
      <w:pPr>
        <w:pStyle w:val="Caption"/>
      </w:pPr>
      <w:r>
        <w:t>All renderings are illustrative only. See the individual buyer briefs for required disclaimers and diligence controls.</w:t>
      </w:r>
    </w:p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9" w:lineRule="auto"/>
    </w:pPr>
    <w:rPr>
      <w:rFonts w:ascii="Aptos" w:hAnsi="Aptos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Aptos" w:hAnsi="Aptos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9" w:lineRule="auto"/>
      <w:outlineLvl w:val="1"/>
    </w:pPr>
    <w:rPr>
      <w:rFonts w:asciiTheme="majorHAnsi" w:eastAsiaTheme="majorEastAsia" w:hAnsiTheme="majorHAnsi" w:cstheme="majorBidi" w:ascii="Aptos" w:hAnsi="Apto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69" w:lineRule="auto" w:before="0"/>
      <w:contextualSpacing/>
    </w:pPr>
    <w:rPr>
      <w:rFonts w:asciiTheme="majorHAnsi" w:eastAsiaTheme="majorEastAsia" w:hAnsiTheme="majorHAnsi" w:cstheme="majorBidi" w:ascii="Aptos" w:hAnsi="Aptos"/>
      <w:b/>
      <w:i w:val="0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 w:line="269" w:lineRule="auto"/>
    </w:pPr>
    <w:rPr>
      <w:rFonts w:asciiTheme="majorHAnsi" w:eastAsiaTheme="majorEastAsia" w:hAnsiTheme="majorHAnsi" w:cstheme="majorBidi" w:ascii="Aptos" w:hAnsi="Aptos"/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9" w:lineRule="auto" w:before="0" w:after="100"/>
    </w:pPr>
    <w:rPr>
      <w:rFonts w:ascii="Aptos" w:hAnsi="Aptos"/>
      <w:b w:val="0"/>
      <w:bCs/>
      <w:i w:val="0"/>
      <w:color w:val="000000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