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Adaptive Reuse and Investment Buyer Brief</w:t>
      </w:r>
    </w:p>
    <w:p>
      <w:pPr>
        <w:pStyle w:val="Subtitle"/>
        <w:jc w:val="center"/>
      </w:pPr>
      <w:r>
        <w:t>8595 US Highway 51  Cobden Illinois 62920</w:t>
      </w:r>
    </w:p>
    <w:p>
      <w:r>
        <w:t>Present the acquisition as a phased reuse opportunity: activate the existing gathering and food-service spaces first, validate demand, then pursue lodging or other expansion only after entitlement, infrastructure, cost, and return analysis.</w:t>
      </w:r>
    </w:p>
    <w:tbl>
      <w:tblPr>
        <w:tblW w:type="auto" w:w="0"/>
        <w:jc w:val="center"/>
        <w:tblLayout w:type="fixed"/>
        <w:tblLook w:firstColumn="1" w:firstRow="1" w:lastColumn="0" w:lastRow="0" w:noHBand="0" w:noVBand="1" w:val="04A0"/>
      </w:tblPr>
      <w:tblGrid>
        <w:gridCol w:w="3427"/>
        <w:gridCol w:w="3427"/>
        <w:gridCol w:w="3427"/>
      </w:tblGrid>
      <w:tr>
        <w:tc>
          <w:tcPr>
            <w:tcW w:type="dxa" w:w="1944"/>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Working offering fact</w:t>
            </w:r>
          </w:p>
        </w:tc>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Current information</w:t>
            </w:r>
          </w:p>
        </w:tc>
        <w:tc>
          <w:tcPr>
            <w:tcW w:type="dxa" w:w="3672"/>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Required control</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Asking price</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$749,000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Confirm before distribution</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Land</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Approximately 26.1 acres reported</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Verify parcels and survey</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Building area</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4,228 square feet on supplied floor plan; approximately 6,000 square feet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Reconcile measurement basis</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Existing assets</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Kitchen, gathering rooms, fireplaces, decks, enclosed porch, stage, pond, and grounds visible in photography</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Confirm inclusion, condition, permits, and parcel location</w:t>
            </w:r>
          </w:p>
        </w:tc>
      </w:tr>
    </w:tbl>
    <w:p>
      <w:pPr>
        <w:spacing w:after="20"/>
      </w:pPr>
    </w:p>
    <w:p>
      <w:pPr>
        <w:pStyle w:val="Heading1"/>
      </w:pPr>
      <w:r>
        <w:t>Current Interior and Buyer Concept</w:t>
      </w:r>
    </w:p>
    <w:tbl>
      <w:tblPr>
        <w:tblW w:type="auto" w:w="0"/>
        <w:jc w:val="center"/>
        <w:tblLayout w:type="fixed"/>
        <w:tblLook w:firstColumn="1" w:firstRow="1" w:lastColumn="0" w:lastRow="0" w:noHBand="0" w:noVBand="1" w:val="04A0"/>
      </w:tblPr>
      <w:tblGrid>
        <w:gridCol w:w="5141"/>
        <w:gridCol w:w="5141"/>
      </w:tblGrid>
      <w:tr>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CURRENT CONDITION</w:t>
            </w:r>
          </w:p>
          <w:p>
            <w:pPr>
              <w:jc w:val="center"/>
            </w:pPr>
            <w:r>
              <w:drawing>
                <wp:inline xmlns:a="http://schemas.openxmlformats.org/drawingml/2006/main" xmlns:pic="http://schemas.openxmlformats.org/drawingml/2006/picture">
                  <wp:extent cx="2944368" cy="1963870"/>
                  <wp:docPr id="1" name="Picture 1"/>
                  <wp:cNvGraphicFramePr>
                    <a:graphicFrameLocks noChangeAspect="1"/>
                  </wp:cNvGraphicFramePr>
                  <a:graphic>
                    <a:graphicData uri="http://schemas.openxmlformats.org/drawingml/2006/picture">
                      <pic:pic>
                        <pic:nvPicPr>
                          <pic:cNvPr id="0" name="3R9A2670.jpg"/>
                          <pic:cNvPicPr/>
                        </pic:nvPicPr>
                        <pic:blipFill>
                          <a:blip r:embed="rId9"/>
                          <a:stretch>
                            <a:fillRect/>
                          </a:stretch>
                        </pic:blipFill>
                        <pic:spPr>
                          <a:xfrm>
                            <a:off x="0" y="0"/>
                            <a:ext cx="2944368" cy="1963870"/>
                          </a:xfrm>
                          <a:prstGeom prst="rect"/>
                        </pic:spPr>
                      </pic:pic>
                    </a:graphicData>
                  </a:graphic>
                </wp:inline>
              </w:drawing>
            </w:r>
          </w:p>
        </w:tc>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CONCEPTUAL RENDERING</w:t>
            </w:r>
          </w:p>
          <w:p>
            <w:pPr>
              <w:jc w:val="center"/>
            </w:pPr>
            <w:r>
              <w:drawing>
                <wp:inline xmlns:a="http://schemas.openxmlformats.org/drawingml/2006/main" xmlns:pic="http://schemas.openxmlformats.org/drawingml/2006/picture">
                  <wp:extent cx="2944368" cy="1962912"/>
                  <wp:docPr id="2" name="Picture 2"/>
                  <wp:cNvGraphicFramePr>
                    <a:graphicFrameLocks noChangeAspect="1"/>
                  </wp:cNvGraphicFramePr>
                  <a:graphic>
                    <a:graphicData uri="http://schemas.openxmlformats.org/drawingml/2006/picture">
                      <pic:pic>
                        <pic:nvPicPr>
                          <pic:cNvPr id="0" name="Adaptive_Reuse_Interior_Concept_01.png"/>
                          <pic:cNvPicPr/>
                        </pic:nvPicPr>
                        <pic:blipFill>
                          <a:blip r:embed="rId10"/>
                          <a:stretch>
                            <a:fillRect/>
                          </a:stretch>
                        </pic:blipFill>
                        <pic:spPr>
                          <a:xfrm>
                            <a:off x="0" y="0"/>
                            <a:ext cx="2944368" cy="1962912"/>
                          </a:xfrm>
                          <a:prstGeom prst="rect"/>
                        </pic:spPr>
                      </pic:pic>
                    </a:graphicData>
                  </a:graphic>
                </wp:inline>
              </w:drawing>
            </w:r>
          </w:p>
        </w:tc>
      </w:tr>
    </w:tbl>
    <w:p>
      <w:pPr>
        <w:pStyle w:val="Caption"/>
      </w:pPr>
      <w:r>
        <w:t>The conceptual rendering illustrates one possible operating presentation. It does not represent the property’s current condition, an approved use, code compliance, construction pricing, or items included in the sale.</w:t>
      </w:r>
    </w:p>
    <w:p>
      <w:r>
        <w:br w:type="page"/>
      </w:r>
    </w:p>
    <w:p>
      <w:pPr>
        <w:pStyle w:val="Heading1"/>
      </w:pPr>
      <w:r>
        <w:t>Buyer Thesis and Operating Program</w:t>
      </w:r>
    </w:p>
    <w:p>
      <w:r>
        <w:t>Present the acquisition as a phased reuse opportunity: activate the existing gathering and food-service spaces first, validate demand, then pursue lodging or other expansion only after entitlement, infrastructure, cost, and return analysis.</w:t>
      </w:r>
    </w:p>
    <w:p>
      <w:pPr>
        <w:pStyle w:val="Heading2"/>
      </w:pPr>
      <w:r>
        <w:t>Priority Buyer Profiles</w:t>
      </w:r>
    </w:p>
    <w:p>
      <w:pPr>
        <w:pStyle w:val="ListBullet"/>
        <w:spacing w:after="60"/>
      </w:pPr>
      <w:r>
        <w:t>Owner-developers and operator-investors</w:t>
      </w:r>
    </w:p>
    <w:p>
      <w:pPr>
        <w:pStyle w:val="ListBullet"/>
        <w:spacing w:after="60"/>
      </w:pPr>
      <w:r>
        <w:t>Boutique hospitality and event investors</w:t>
      </w:r>
    </w:p>
    <w:p>
      <w:pPr>
        <w:pStyle w:val="ListBullet"/>
        <w:spacing w:after="60"/>
      </w:pPr>
      <w:r>
        <w:t>Adaptive-reuse specialists</w:t>
      </w:r>
    </w:p>
    <w:p>
      <w:pPr>
        <w:pStyle w:val="ListBullet"/>
        <w:spacing w:after="60"/>
      </w:pPr>
      <w:r>
        <w:t>Family offices or local investors partnering with an experienced operator</w:t>
      </w:r>
    </w:p>
    <w:p>
      <w:pPr>
        <w:pStyle w:val="Heading2"/>
      </w:pPr>
      <w:r>
        <w:t>Why the Property Can Fit</w:t>
      </w:r>
    </w:p>
    <w:p>
      <w:pPr>
        <w:pStyle w:val="ListBullet"/>
        <w:spacing w:after="60"/>
      </w:pPr>
      <w:r>
        <w:t>Existing character-rich building reduces the need to create a destination identity from scratch</w:t>
      </w:r>
    </w:p>
    <w:p>
      <w:pPr>
        <w:pStyle w:val="ListBullet"/>
        <w:spacing w:after="60"/>
      </w:pPr>
      <w:r>
        <w:t>Several indoor and outdoor environments can support phased activation</w:t>
      </w:r>
    </w:p>
    <w:p>
      <w:pPr>
        <w:pStyle w:val="ListBullet"/>
        <w:spacing w:after="60"/>
      </w:pPr>
      <w:r>
        <w:t>Commercial kitchen and event infrastructure may shorten selected operating pathways</w:t>
      </w:r>
    </w:p>
    <w:p>
      <w:pPr>
        <w:pStyle w:val="ListBullet"/>
        <w:spacing w:after="60"/>
      </w:pPr>
      <w:r>
        <w:t>Acreage creates optionality, but only after boundary and entitlement verification</w:t>
      </w:r>
    </w:p>
    <w:p>
      <w:pPr>
        <w:pStyle w:val="Heading2"/>
      </w:pPr>
      <w:r>
        <w:t>Illustrative Operating Program</w:t>
      </w:r>
    </w:p>
    <w:p>
      <w:pPr>
        <w:pStyle w:val="ListBullet"/>
        <w:spacing w:after="60"/>
      </w:pPr>
      <w:r>
        <w:t>Phase one: refreshed event, dining, meeting, or day-retreat operations</w:t>
      </w:r>
    </w:p>
    <w:p>
      <w:pPr>
        <w:pStyle w:val="ListBullet"/>
        <w:spacing w:after="60"/>
      </w:pPr>
      <w:r>
        <w:t>Phase two: boutique hospitality services and enhanced guest commons</w:t>
      </w:r>
    </w:p>
    <w:p>
      <w:pPr>
        <w:pStyle w:val="ListBullet"/>
        <w:spacing w:after="60"/>
      </w:pPr>
      <w:r>
        <w:t>Phase three: approved lodging, wellness, or complementary structures if feasibility supports them</w:t>
      </w:r>
    </w:p>
    <w:p>
      <w:pPr>
        <w:pStyle w:val="ListBullet"/>
        <w:spacing w:after="60"/>
      </w:pPr>
      <w:r>
        <w:t>Use partnerships and temporary programming to test demand before heavy capital deployment</w:t>
      </w:r>
    </w:p>
    <w:p>
      <w:pPr>
        <w:pStyle w:val="Heading2"/>
      </w:pPr>
      <w:r>
        <w:t>Likely Improvement Priorities</w:t>
      </w:r>
    </w:p>
    <w:p>
      <w:pPr>
        <w:pStyle w:val="ListBullet"/>
        <w:spacing w:after="60"/>
      </w:pPr>
      <w:r>
        <w:t>Complete title, survey, zoning, building, environmental, utility, and market diligence</w:t>
      </w:r>
    </w:p>
    <w:p>
      <w:pPr>
        <w:pStyle w:val="ListBullet"/>
        <w:spacing w:after="60"/>
      </w:pPr>
      <w:r>
        <w:t>Resolve the discrepancy between the 4,228-square-foot floor-plan total and approximately 6,000 square feet in current marketing</w:t>
      </w:r>
    </w:p>
    <w:p>
      <w:pPr>
        <w:pStyle w:val="ListBullet"/>
        <w:spacing w:after="60"/>
      </w:pPr>
      <w:r>
        <w:t>Prepare concept-level code, infrastructure, parking, and cost studies for each phase</w:t>
      </w:r>
    </w:p>
    <w:p>
      <w:pPr>
        <w:pStyle w:val="ListBullet"/>
        <w:spacing w:after="60"/>
      </w:pPr>
      <w:r>
        <w:t>Select an experienced operator and build conservative sources-and-uses, stabilization, and exit cases</w:t>
      </w:r>
    </w:p>
    <w:p>
      <w:r>
        <w:br w:type="page"/>
      </w:r>
    </w:p>
    <w:p>
      <w:pPr>
        <w:pStyle w:val="Heading1"/>
      </w:pPr>
      <w:r>
        <w:t>Buyer Facing Campaign Materials</w:t>
      </w:r>
    </w:p>
    <w:p>
      <w:pPr>
        <w:pStyle w:val="Heading2"/>
      </w:pPr>
      <w:r>
        <w:t>Suggested Headline</w:t>
      </w:r>
    </w:p>
    <w:p>
      <w:r>
        <w:t>A character-rich platform for phased hospitality and destination reuse</w:t>
      </w:r>
    </w:p>
    <w:p>
      <w:pPr>
        <w:pStyle w:val="Heading2"/>
      </w:pPr>
      <w:r>
        <w:t>Direct Outreach Message</w:t>
      </w:r>
    </w:p>
    <w:p>
      <w:r>
        <w:t>The property offers an existing destination building, commercial food-service infrastructure, varied gathering areas, decks, event grounds, pond, and acreage. The investment thesis is phased rather than speculative: activate existing spaces, validate demand, and pursue regulated expansion only when approvals, infrastructure, and returns are demonstrated.</w:t>
      </w:r>
    </w:p>
    <w:p>
      <w:pPr>
        <w:pStyle w:val="Heading2"/>
      </w:pPr>
      <w:r>
        <w:t>Recommended Image Sequence</w:t>
      </w:r>
    </w:p>
    <w:p>
      <w:pPr>
        <w:pStyle w:val="ListBullet"/>
        <w:spacing w:after="60"/>
      </w:pPr>
      <w:r>
        <w:t>Current hero interior that clearly establishes the real building</w:t>
      </w:r>
    </w:p>
    <w:p>
      <w:pPr>
        <w:pStyle w:val="ListBullet"/>
        <w:spacing w:after="60"/>
      </w:pPr>
      <w:r>
        <w:t>Matching conceptual rendering labeled Conceptual Rendering</w:t>
      </w:r>
    </w:p>
    <w:p>
      <w:pPr>
        <w:pStyle w:val="ListBullet"/>
        <w:spacing w:after="60"/>
      </w:pPr>
      <w:r>
        <w:t>Commercial kitchen and food-service areas</w:t>
      </w:r>
    </w:p>
    <w:p>
      <w:pPr>
        <w:pStyle w:val="ListBullet"/>
        <w:spacing w:after="60"/>
      </w:pPr>
      <w:r>
        <w:t>Enclosed porch, decks, and main gathering rooms</w:t>
      </w:r>
    </w:p>
    <w:p>
      <w:pPr>
        <w:pStyle w:val="ListBullet"/>
        <w:spacing w:after="60"/>
      </w:pPr>
      <w:r>
        <w:t>Ground-level exterior and site amenities</w:t>
      </w:r>
    </w:p>
    <w:p>
      <w:pPr>
        <w:pStyle w:val="ListBullet"/>
        <w:spacing w:after="60"/>
      </w:pPr>
      <w:r>
        <w:t>Verified floor plan and boundary exhibit once reconciled</w:t>
      </w:r>
    </w:p>
    <w:p>
      <w:pPr>
        <w:pStyle w:val="Heading2"/>
      </w:pPr>
      <w:r>
        <w:t>Lead Qualification Questions</w:t>
      </w:r>
    </w:p>
    <w:p>
      <w:pPr>
        <w:pStyle w:val="ListBullet"/>
        <w:spacing w:after="60"/>
      </w:pPr>
      <w:r>
        <w:t>Which phase can generate revenue with the least entitlement and capital risk?</w:t>
      </w:r>
    </w:p>
    <w:p>
      <w:pPr>
        <w:pStyle w:val="ListBullet"/>
        <w:spacing w:after="60"/>
      </w:pPr>
      <w:r>
        <w:t>Who will operate the property and what relevant experience do they bring?</w:t>
      </w:r>
    </w:p>
    <w:p>
      <w:pPr>
        <w:pStyle w:val="ListBullet"/>
        <w:spacing w:after="60"/>
      </w:pPr>
      <w:r>
        <w:t>How will building area, equipment, parcel boundaries, and legal uses be verified?</w:t>
      </w:r>
    </w:p>
    <w:p>
      <w:pPr>
        <w:pStyle w:val="ListBullet"/>
        <w:spacing w:after="60"/>
      </w:pPr>
      <w:r>
        <w:t>What return threshold and contingency reserve does the investment require?</w:t>
      </w:r>
    </w:p>
    <w:p>
      <w:pPr>
        <w:pStyle w:val="ListBullet"/>
        <w:spacing w:after="60"/>
      </w:pPr>
      <w:r>
        <w:t>Which expansion ideas remain viable after parking, septic, fire, accessibility, and cost analysis?</w:t>
      </w:r>
    </w:p>
    <w:p>
      <w:pPr>
        <w:pStyle w:val="Heading2"/>
      </w:pPr>
      <w:r>
        <w:t>Call to Action</w:t>
      </w:r>
    </w:p>
    <w:p>
      <w:r>
        <w:t>Request the verified property package, schedule a private tour, and submit a written indication of intended use, acquisition structure, diligence needs, and timing.</w:t>
      </w:r>
    </w:p>
    <w:p>
      <w:r>
        <w:br w:type="page"/>
      </w:r>
    </w:p>
    <w:p>
      <w:pPr>
        <w:pStyle w:val="Heading1"/>
      </w:pPr>
      <w:r>
        <w:t>Verification and Buyer Diligence</w:t>
      </w:r>
    </w:p>
    <w:p>
      <w:r>
        <w:t>The campaign can present credible possibilities without representing them as approved or economically proven. Before public distribution, the seller and broker should reconcile the building-area discrepancy and confirm the exact sale perimeter.</w:t>
      </w:r>
    </w:p>
    <w:tbl>
      <w:tblPr>
        <w:tblW w:type="auto" w:w="0"/>
        <w:jc w:val="center"/>
        <w:tblLayout w:type="fixed"/>
        <w:tblLook w:firstColumn="1" w:firstRow="1" w:lastColumn="0" w:lastRow="0" w:noHBand="0" w:noVBand="1" w:val="04A0"/>
      </w:tblPr>
      <w:tblGrid>
        <w:gridCol w:w="5141"/>
        <w:gridCol w:w="5141"/>
      </w:tblGrid>
      <w:tr>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Verify before relying</w:t>
            </w:r>
          </w:p>
        </w:tc>
        <w:tc>
          <w:tcPr>
            <w:tcW w:type="dxa" w:w="561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Reason</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Parcels, legal descriptions, acreage, access, and boundaries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Photos do not establish which land or improvements convey.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Zoning, legal use, occupancy, parking, and event or lodging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 conceptual use is not an entitlement.</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Kitchen equipment ownership, inclusion, condition, and inspection status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Visible equipment may be leased, excluded, inactive, or require service.</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Water, wastewater, electric capacity, fire protection, and accessibility</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Operating capacity depends on infrastructure and code requirements.</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Pond, stage, decks, outbuildings, signs, and outdoor-program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Presence does not prove boundary location, compliance, or insurability.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Renovation scope, professional estimates, financing, and operating economics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Renderings do not establish cost, feasibility, revenue, or return.</w:t>
            </w:r>
          </w:p>
        </w:tc>
      </w:tr>
    </w:tbl>
    <w:p>
      <w:pPr>
        <w:spacing w:after="20"/>
      </w:pPr>
    </w:p>
    <w:p>
      <w:pPr>
        <w:pStyle w:val="Heading2"/>
      </w:pPr>
      <w:r>
        <w:t>Required Marketing Disclaimer</w:t>
      </w:r>
    </w:p>
    <w:p>
      <w:r>
        <w:t>Conceptual renderings are provided solely to illustrate potential space planning and operating ideas. They do not depict current conditions, included personal property, approved uses, code compliance, construction scope, cost, capacity, revenue, or future performance. All dimensions, property facts, uses, improvements, permits, utilities, and economics must be independently verified by the buyer and appropriate professionals.</w:t>
      </w:r>
    </w:p>
    <w:p>
      <w:pPr>
        <w:pStyle w:val="Caption"/>
      </w:pPr>
      <w:r>
        <w:t>Prepared for customized buyer outreach  September 2026</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pPr>
    <w:rPr>
      <w:rFonts w:ascii="Aptos" w:hAnsi="Aptos"/>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69" w:lineRule="auto"/>
      <w:outlineLvl w:val="0"/>
    </w:pPr>
    <w:rPr>
      <w:rFonts w:asciiTheme="majorHAnsi" w:eastAsiaTheme="majorEastAsia" w:hAnsiTheme="majorHAnsi" w:cstheme="majorBidi" w:ascii="Aptos" w:hAnsi="Aptos"/>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69" w:lineRule="auto"/>
      <w:outlineLvl w:val="1"/>
    </w:pPr>
    <w:rPr>
      <w:rFonts w:asciiTheme="majorHAnsi" w:eastAsiaTheme="majorEastAsia" w:hAnsiTheme="majorHAnsi" w:cstheme="majorBidi" w:ascii="Aptos" w:hAnsi="Apto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9" w:lineRule="auto" w:before="0"/>
      <w:contextualSpacing/>
    </w:pPr>
    <w:rPr>
      <w:rFonts w:asciiTheme="majorHAnsi" w:eastAsiaTheme="majorEastAsia" w:hAnsiTheme="majorHAnsi" w:cstheme="majorBidi" w:ascii="Aptos" w:hAnsi="Aptos"/>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line="269" w:lineRule="auto"/>
    </w:pPr>
    <w:rPr>
      <w:rFonts w:asciiTheme="majorHAnsi" w:eastAsiaTheme="majorEastAsia" w:hAnsiTheme="majorHAnsi" w:cstheme="majorBidi" w:ascii="Aptos" w:hAnsi="Aptos"/>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before="0" w:after="100"/>
    </w:pPr>
    <w:rPr>
      <w:rFonts w:ascii="Aptos" w:hAnsi="Aptos"/>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